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4E69B" w14:textId="7CF45954" w:rsidR="00E54381" w:rsidRPr="00B55935" w:rsidRDefault="00E54381" w:rsidP="00E5438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#91</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9A4C3D">
        <w:rPr>
          <w:rFonts w:ascii="Calibri" w:eastAsia="新細明體" w:hAnsi="Calibri" w:cs="Arial"/>
          <w:noProof w:val="0"/>
          <w:sz w:val="24"/>
          <w:szCs w:val="24"/>
          <w:lang w:eastAsia="ja-JP"/>
        </w:rPr>
        <w:t>6258</w:t>
      </w:r>
      <w:bookmarkStart w:id="0" w:name="_GoBack"/>
      <w:bookmarkEnd w:id="0"/>
    </w:p>
    <w:p w14:paraId="6BBF9BC7" w14:textId="77777777" w:rsidR="00E54381" w:rsidRPr="00FE72F2" w:rsidRDefault="00E54381" w:rsidP="00E54381">
      <w:pPr>
        <w:tabs>
          <w:tab w:val="left" w:pos="1985"/>
        </w:tabs>
        <w:jc w:val="both"/>
        <w:rPr>
          <w:rFonts w:ascii="Calibri" w:eastAsia="新細明體" w:hAnsi="Calibri"/>
          <w:sz w:val="24"/>
        </w:rPr>
      </w:pPr>
      <w:r w:rsidRPr="00FC3563">
        <w:rPr>
          <w:rFonts w:ascii="Calibri" w:eastAsia="新細明體" w:hAnsi="Calibri" w:cs="Arial"/>
          <w:b/>
          <w:sz w:val="24"/>
          <w:szCs w:val="24"/>
          <w:lang w:eastAsia="ja-JP"/>
        </w:rPr>
        <w:t>Reno, Nevada, USA, May 13</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17</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68B9A7C3"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926BE">
        <w:rPr>
          <w:rFonts w:cs="Arial"/>
          <w:b/>
          <w:bCs/>
        </w:rPr>
        <w:t>6.10.6.1.1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DF66C4E" w:rsidR="00174EC2" w:rsidRDefault="0034111C" w:rsidP="007A4FCF">
      <w:pPr>
        <w:ind w:left="1985" w:hanging="1985"/>
        <w:rPr>
          <w:rFonts w:cs="Arial"/>
          <w:b/>
          <w:bCs/>
        </w:rPr>
      </w:pPr>
      <w:r w:rsidRPr="000C45FD">
        <w:rPr>
          <w:rFonts w:cs="Arial"/>
          <w:b/>
          <w:bCs/>
        </w:rPr>
        <w:t>Title:</w:t>
      </w:r>
      <w:r w:rsidRPr="000C45FD">
        <w:rPr>
          <w:rFonts w:cs="Arial"/>
          <w:b/>
          <w:bCs/>
        </w:rPr>
        <w:tab/>
      </w:r>
      <w:r w:rsidR="000033D2">
        <w:rPr>
          <w:rFonts w:cs="Arial"/>
          <w:b/>
          <w:bCs/>
        </w:rPr>
        <w:t xml:space="preserve">UE </w:t>
      </w:r>
      <w:r w:rsidR="003A2030">
        <w:rPr>
          <w:rFonts w:cs="Arial"/>
          <w:b/>
          <w:bCs/>
        </w:rPr>
        <w:t xml:space="preserve">UL </w:t>
      </w:r>
      <w:r w:rsidR="000033D2">
        <w:rPr>
          <w:rFonts w:cs="Arial"/>
          <w:b/>
          <w:bCs/>
        </w:rPr>
        <w:t>timing adjustment due to Rx beam change</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19A0759" w14:textId="36A00538" w:rsidR="00905801" w:rsidRDefault="003A2030" w:rsidP="009872C2">
      <w:pPr>
        <w:jc w:val="both"/>
      </w:pPr>
      <w:r>
        <w:t xml:space="preserve">In last RAN4 meeting, </w:t>
      </w:r>
      <w:r w:rsidR="009872C2">
        <w:t xml:space="preserve">the issue of UE UL Tx timing adjustment due to Rx beam change was discussed. A CR [1] </w:t>
      </w:r>
      <w:r w:rsidR="00431D40">
        <w:t xml:space="preserve">was agreed </w:t>
      </w:r>
      <w:r w:rsidR="009872C2">
        <w:t xml:space="preserve">to introduce a second threshold </w:t>
      </w:r>
      <w:r w:rsidR="00A90CEE">
        <w:t>(</w:t>
      </w:r>
      <w:r w:rsidR="00A90CEE" w:rsidRPr="0097695B">
        <w:sym w:font="Symbol" w:char="F044"/>
      </w:r>
      <w:r w:rsidR="00A90CEE" w:rsidRPr="00A90CEE">
        <w:rPr>
          <w:lang w:val="en-GB" w:eastAsia="en-US"/>
        </w:rPr>
        <w:t>T</w:t>
      </w:r>
      <w:r w:rsidR="00A90CEE">
        <w:t xml:space="preserve">) </w:t>
      </w:r>
      <w:r w:rsidR="009872C2">
        <w:t>on which UE determines whether to conduct gradual or one-shot timing adjustment</w:t>
      </w:r>
      <w:r w:rsidR="00A90CEE">
        <w:t>. However, there are some remaining issues would need to be further concluded.</w:t>
      </w:r>
    </w:p>
    <w:p w14:paraId="6D714797" w14:textId="29F1D500" w:rsidR="00307992" w:rsidRPr="00A90CEE" w:rsidRDefault="00D11C98" w:rsidP="000F38B9">
      <w:pPr>
        <w:numPr>
          <w:ilvl w:val="0"/>
          <w:numId w:val="40"/>
        </w:numPr>
        <w:spacing w:after="0"/>
        <w:jc w:val="both"/>
        <w:rPr>
          <w:lang w:eastAsia="en-US"/>
        </w:rPr>
      </w:pPr>
      <w:r>
        <w:rPr>
          <w:lang w:eastAsia="en-US"/>
        </w:rPr>
        <w:t>The t</w:t>
      </w:r>
      <w:r w:rsidR="002803AC" w:rsidRPr="00A90CEE">
        <w:rPr>
          <w:lang w:eastAsia="en-US"/>
        </w:rPr>
        <w:t xml:space="preserve">hreshold </w:t>
      </w:r>
      <w:r w:rsidR="00A90CEE" w:rsidRPr="0097695B">
        <w:sym w:font="Symbol" w:char="F044"/>
      </w:r>
      <w:r w:rsidR="002803AC" w:rsidRPr="00A90CEE">
        <w:rPr>
          <w:lang w:val="en-GB" w:eastAsia="en-US"/>
        </w:rPr>
        <w:t>T</w:t>
      </w:r>
    </w:p>
    <w:p w14:paraId="2DD4519C" w14:textId="77777777" w:rsidR="00307992" w:rsidRPr="00A90CEE" w:rsidRDefault="002803AC" w:rsidP="000F38B9">
      <w:pPr>
        <w:numPr>
          <w:ilvl w:val="0"/>
          <w:numId w:val="40"/>
        </w:numPr>
        <w:spacing w:after="0"/>
        <w:jc w:val="both"/>
        <w:rPr>
          <w:lang w:eastAsia="en-US"/>
        </w:rPr>
      </w:pPr>
      <w:r w:rsidRPr="00A90CEE">
        <w:rPr>
          <w:lang w:eastAsia="en-US"/>
        </w:rPr>
        <w:t>Direction, magnitude and accuracy (Te1) of one-shot adjustment</w:t>
      </w:r>
    </w:p>
    <w:p w14:paraId="454B9AEC" w14:textId="2405DE5E" w:rsidR="00307992" w:rsidRPr="00A90CEE" w:rsidRDefault="002803AC" w:rsidP="000F38B9">
      <w:pPr>
        <w:numPr>
          <w:ilvl w:val="0"/>
          <w:numId w:val="40"/>
        </w:numPr>
        <w:spacing w:after="0"/>
        <w:jc w:val="both"/>
        <w:rPr>
          <w:lang w:eastAsia="en-US"/>
        </w:rPr>
      </w:pPr>
      <w:r w:rsidRPr="00A90CEE">
        <w:rPr>
          <w:lang w:eastAsia="en-US"/>
        </w:rPr>
        <w:t>interruption requirement</w:t>
      </w:r>
    </w:p>
    <w:p w14:paraId="32FC5B81" w14:textId="6D3C5700" w:rsidR="00A90CEE" w:rsidRPr="00E93B23" w:rsidRDefault="00A90CEE" w:rsidP="00A90CEE">
      <w:pPr>
        <w:spacing w:after="0"/>
        <w:jc w:val="both"/>
      </w:pPr>
      <w:r>
        <w:t>In this paper, we discuss above remaining issues.</w:t>
      </w:r>
      <w:r w:rsidR="000F38B9">
        <w:t xml:space="preserve"> We will start with 2).</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7D47BCB6" w14:textId="77777777" w:rsidR="00D11C98" w:rsidRDefault="00D11C98" w:rsidP="00D11C98">
      <w:pPr>
        <w:jc w:val="both"/>
        <w:rPr>
          <w:lang w:eastAsia="x-none"/>
        </w:rPr>
      </w:pPr>
      <w:r>
        <w:rPr>
          <w:lang w:eastAsia="x-none"/>
        </w:rPr>
        <w:t xml:space="preserve">Based on the agreed CR [1], UE’s behavior on how to adjust its UL timing can be illustrated as </w:t>
      </w:r>
      <w:r>
        <w:rPr>
          <w:lang w:eastAsia="x-none"/>
        </w:rPr>
        <w:fldChar w:fldCharType="begin"/>
      </w:r>
      <w:r>
        <w:rPr>
          <w:lang w:eastAsia="x-none"/>
        </w:rPr>
        <w:instrText xml:space="preserve"> REF _Ref7635242 \h </w:instrText>
      </w:r>
      <w:r>
        <w:rPr>
          <w:lang w:eastAsia="x-none"/>
        </w:rPr>
      </w:r>
      <w:r>
        <w:rPr>
          <w:lang w:eastAsia="x-none"/>
        </w:rPr>
        <w:fldChar w:fldCharType="separate"/>
      </w:r>
      <w:r>
        <w:t xml:space="preserve">Figure </w:t>
      </w:r>
      <w:r>
        <w:rPr>
          <w:noProof/>
        </w:rPr>
        <w:t>1</w:t>
      </w:r>
      <w:r>
        <w:rPr>
          <w:lang w:eastAsia="x-none"/>
        </w:rPr>
        <w:fldChar w:fldCharType="end"/>
      </w:r>
      <w:r>
        <w:rPr>
          <w:lang w:eastAsia="x-none"/>
        </w:rPr>
        <w:t xml:space="preserve">. </w:t>
      </w:r>
    </w:p>
    <w:p w14:paraId="55865CF8" w14:textId="1BC31209" w:rsidR="00D11C98" w:rsidRDefault="00D11C98" w:rsidP="00D11C98">
      <w:pPr>
        <w:pStyle w:val="ListParagraph"/>
        <w:numPr>
          <w:ilvl w:val="0"/>
          <w:numId w:val="38"/>
        </w:numPr>
        <w:jc w:val="both"/>
        <w:rPr>
          <w:lang w:eastAsia="x-none"/>
        </w:rPr>
      </w:pPr>
      <w:r>
        <w:rPr>
          <w:lang w:eastAsia="x-none"/>
        </w:rPr>
        <w:t>When the timing difference between new and old beams are smaller than Te, UE does not need to take any actions</w:t>
      </w:r>
    </w:p>
    <w:p w14:paraId="7DFE31A2" w14:textId="5545731E" w:rsidR="00D11C98" w:rsidRDefault="00D11C98" w:rsidP="00D11C98">
      <w:pPr>
        <w:pStyle w:val="ListParagraph"/>
        <w:numPr>
          <w:ilvl w:val="0"/>
          <w:numId w:val="38"/>
        </w:numPr>
        <w:jc w:val="both"/>
        <w:rPr>
          <w:lang w:eastAsia="x-none"/>
        </w:rPr>
      </w:pPr>
      <w:r>
        <w:rPr>
          <w:lang w:eastAsia="x-none"/>
        </w:rPr>
        <w:t xml:space="preserve">When the timing difference is larger than Te but smaller than </w:t>
      </w:r>
      <w:r w:rsidRPr="00D11C98">
        <w:rPr>
          <w:lang w:eastAsia="zh-CN"/>
        </w:rPr>
        <w:sym w:font="Symbol" w:char="F044"/>
      </w:r>
      <w:r w:rsidRPr="00D11C98">
        <w:rPr>
          <w:lang w:val="en-GB"/>
        </w:rPr>
        <w:t>T</w:t>
      </w:r>
      <w:r>
        <w:rPr>
          <w:lang w:eastAsia="x-none"/>
        </w:rPr>
        <w:t>, UE adjustment its UL Tx timing based on legacy requirement (gradual small-step adjustment)</w:t>
      </w:r>
    </w:p>
    <w:p w14:paraId="645E39D0" w14:textId="03B96026" w:rsidR="00D11C98" w:rsidRDefault="00D11C98" w:rsidP="00D11C98">
      <w:pPr>
        <w:pStyle w:val="ListParagraph"/>
        <w:numPr>
          <w:ilvl w:val="0"/>
          <w:numId w:val="38"/>
        </w:numPr>
        <w:jc w:val="both"/>
        <w:rPr>
          <w:lang w:eastAsia="x-none"/>
        </w:rPr>
      </w:pPr>
      <w:r>
        <w:rPr>
          <w:lang w:eastAsia="x-none"/>
        </w:rPr>
        <w:t xml:space="preserve">When the timing difference is larger than </w:t>
      </w:r>
      <w:r w:rsidRPr="00D11C98">
        <w:rPr>
          <w:lang w:eastAsia="zh-CN"/>
        </w:rPr>
        <w:sym w:font="Symbol" w:char="F044"/>
      </w:r>
      <w:r w:rsidRPr="00D11C98">
        <w:rPr>
          <w:lang w:val="en-GB"/>
        </w:rPr>
        <w:t>T</w:t>
      </w:r>
      <w:r>
        <w:rPr>
          <w:lang w:eastAsia="x-none"/>
        </w:rPr>
        <w:t xml:space="preserve">, UE will conduct a one-shot big-step timing adjustment. </w:t>
      </w:r>
    </w:p>
    <w:p w14:paraId="6E0F2D1F" w14:textId="40232D3C" w:rsidR="00D11C98" w:rsidRDefault="00D11C98" w:rsidP="00D11C98">
      <w:pPr>
        <w:jc w:val="center"/>
        <w:rPr>
          <w:lang w:eastAsia="x-none"/>
        </w:rPr>
      </w:pPr>
      <w:r w:rsidRPr="00D11C98">
        <w:rPr>
          <w:noProof/>
          <w:lang w:eastAsia="zh-TW"/>
        </w:rPr>
        <w:drawing>
          <wp:inline distT="0" distB="0" distL="0" distR="0" wp14:anchorId="5F5EED34" wp14:editId="0B103EA2">
            <wp:extent cx="4943205" cy="747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3494" cy="754796"/>
                    </a:xfrm>
                    <a:prstGeom prst="rect">
                      <a:avLst/>
                    </a:prstGeom>
                    <a:noFill/>
                    <a:ln>
                      <a:noFill/>
                    </a:ln>
                  </pic:spPr>
                </pic:pic>
              </a:graphicData>
            </a:graphic>
          </wp:inline>
        </w:drawing>
      </w:r>
      <w:r w:rsidRPr="00D11C98">
        <w:rPr>
          <w:lang w:eastAsia="x-none"/>
        </w:rPr>
        <w:t xml:space="preserve"> </w:t>
      </w:r>
    </w:p>
    <w:p w14:paraId="5742FE50" w14:textId="24752459" w:rsidR="00D11C98" w:rsidRPr="003D5507" w:rsidRDefault="00D11C98" w:rsidP="00D11C98">
      <w:pPr>
        <w:pStyle w:val="Caption"/>
        <w:jc w:val="center"/>
        <w:rPr>
          <w:lang w:val="en-US"/>
        </w:rPr>
      </w:pPr>
      <w:bookmarkStart w:id="1" w:name="_Ref7635242"/>
      <w:r>
        <w:t xml:space="preserve">Figure </w:t>
      </w:r>
      <w:r>
        <w:fldChar w:fldCharType="begin"/>
      </w:r>
      <w:r>
        <w:instrText xml:space="preserve"> SEQ Figure \* ARABIC </w:instrText>
      </w:r>
      <w:r>
        <w:fldChar w:fldCharType="separate"/>
      </w:r>
      <w:r>
        <w:rPr>
          <w:noProof/>
        </w:rPr>
        <w:t>1</w:t>
      </w:r>
      <w:r>
        <w:rPr>
          <w:noProof/>
        </w:rPr>
        <w:fldChar w:fldCharType="end"/>
      </w:r>
      <w:bookmarkEnd w:id="1"/>
      <w:r>
        <w:rPr>
          <w:lang w:val="en-US"/>
        </w:rPr>
        <w:t>. Three different UE behaviors on UL timing adjustment to deal with DL timing change.</w:t>
      </w:r>
    </w:p>
    <w:p w14:paraId="093F8F3E" w14:textId="77777777" w:rsidR="00D11C98" w:rsidRDefault="00D11C98" w:rsidP="00D11C98">
      <w:pPr>
        <w:jc w:val="both"/>
        <w:rPr>
          <w:lang w:eastAsia="x-none"/>
        </w:rPr>
      </w:pPr>
    </w:p>
    <w:p w14:paraId="5C019857" w14:textId="20DA519E" w:rsidR="000F38B9" w:rsidRPr="000F38B9" w:rsidRDefault="000F38B9" w:rsidP="00D11C98">
      <w:pPr>
        <w:jc w:val="both"/>
        <w:rPr>
          <w:b/>
          <w:u w:val="single"/>
          <w:lang w:eastAsia="x-none"/>
        </w:rPr>
      </w:pPr>
      <w:r w:rsidRPr="000F38B9">
        <w:rPr>
          <w:b/>
          <w:u w:val="single"/>
          <w:lang w:eastAsia="en-US"/>
        </w:rPr>
        <w:t>Direction, magnitude and accuracy (Te1) of one-shot adjustment</w:t>
      </w:r>
    </w:p>
    <w:p w14:paraId="443E3093" w14:textId="266AA8E2" w:rsidR="000F38B9" w:rsidRDefault="000F38B9" w:rsidP="00D11C98">
      <w:pPr>
        <w:jc w:val="both"/>
        <w:rPr>
          <w:lang w:eastAsia="x-none"/>
        </w:rPr>
      </w:pPr>
      <w:r>
        <w:rPr>
          <w:lang w:eastAsia="x-none"/>
        </w:rPr>
        <w:t xml:space="preserve">In our understanding, one of the purpose to conduct this one-shot timing adjustment is to reduce the time needed for TA to converge. Therefore, unlike the existing timing requirements which always adjust UL timing with the same direction of the change in DL timing, it is preferred to conduct this one-shot adjustment with the opposite direction of the change in DL timing. </w:t>
      </w:r>
    </w:p>
    <w:p w14:paraId="4BF80DF2" w14:textId="266E6219" w:rsidR="004F6C3E" w:rsidRPr="004F6C3E" w:rsidRDefault="004F6C3E" w:rsidP="004F6C3E">
      <w:pPr>
        <w:pStyle w:val="Caption"/>
        <w:rPr>
          <w:lang w:val="en-US"/>
        </w:rPr>
      </w:pPr>
      <w:bookmarkStart w:id="2" w:name="_Ref7721570"/>
      <w:r>
        <w:t xml:space="preserve">Proposal </w:t>
      </w:r>
      <w:r w:rsidR="00CE55E8">
        <w:rPr>
          <w:noProof/>
        </w:rPr>
        <w:fldChar w:fldCharType="begin"/>
      </w:r>
      <w:r w:rsidR="00CE55E8">
        <w:rPr>
          <w:noProof/>
        </w:rPr>
        <w:instrText xml:space="preserve"> SEQ Proposal \* ARABIC </w:instrText>
      </w:r>
      <w:r w:rsidR="00CE55E8">
        <w:rPr>
          <w:noProof/>
        </w:rPr>
        <w:fldChar w:fldCharType="separate"/>
      </w:r>
      <w:r w:rsidR="00206F6B">
        <w:rPr>
          <w:noProof/>
        </w:rPr>
        <w:t>1</w:t>
      </w:r>
      <w:r w:rsidR="00CE55E8">
        <w:rPr>
          <w:noProof/>
        </w:rPr>
        <w:fldChar w:fldCharType="end"/>
      </w:r>
      <w:r>
        <w:rPr>
          <w:lang w:val="en-US"/>
        </w:rPr>
        <w:t xml:space="preserve">: The direction of one-shot timing adjustment is </w:t>
      </w:r>
      <w:r>
        <w:t xml:space="preserve">opposite </w:t>
      </w:r>
      <w:r>
        <w:rPr>
          <w:lang w:val="en-US"/>
        </w:rPr>
        <w:t xml:space="preserve">to </w:t>
      </w:r>
      <w:r>
        <w:t>direction of the change in DL timing</w:t>
      </w:r>
      <w:r>
        <w:rPr>
          <w:lang w:val="en-US"/>
        </w:rPr>
        <w:t>.</w:t>
      </w:r>
      <w:bookmarkEnd w:id="2"/>
    </w:p>
    <w:p w14:paraId="27B7B478" w14:textId="77777777" w:rsidR="00396692" w:rsidRDefault="00396692" w:rsidP="00D11C98">
      <w:pPr>
        <w:jc w:val="both"/>
        <w:rPr>
          <w:lang w:eastAsia="x-none"/>
        </w:rPr>
      </w:pPr>
    </w:p>
    <w:p w14:paraId="2226E374" w14:textId="77777777" w:rsidR="00431D40" w:rsidRDefault="004F6C3E" w:rsidP="00D11C98">
      <w:pPr>
        <w:jc w:val="both"/>
        <w:rPr>
          <w:lang w:eastAsia="x-none"/>
        </w:rPr>
      </w:pPr>
      <w:r>
        <w:rPr>
          <w:lang w:eastAsia="x-none"/>
        </w:rPr>
        <w:t>Regarding the magnitude to be adjusted in one-shot, we needs to discuss the reference point first.</w:t>
      </w:r>
      <w:r w:rsidR="00316E22">
        <w:rPr>
          <w:lang w:eastAsia="x-none"/>
        </w:rPr>
        <w:t xml:space="preserve"> As illustrated in </w:t>
      </w:r>
      <w:r w:rsidR="00316E22">
        <w:rPr>
          <w:lang w:eastAsia="x-none"/>
        </w:rPr>
        <w:fldChar w:fldCharType="begin"/>
      </w:r>
      <w:r w:rsidR="00316E22">
        <w:rPr>
          <w:lang w:eastAsia="x-none"/>
        </w:rPr>
        <w:instrText xml:space="preserve"> REF _Ref7637487 \h </w:instrText>
      </w:r>
      <w:r w:rsidR="00316E22">
        <w:rPr>
          <w:lang w:eastAsia="x-none"/>
        </w:rPr>
      </w:r>
      <w:r w:rsidR="00316E22">
        <w:rPr>
          <w:lang w:eastAsia="x-none"/>
        </w:rPr>
        <w:fldChar w:fldCharType="separate"/>
      </w:r>
      <w:r w:rsidR="00316E22">
        <w:t xml:space="preserve">Figure </w:t>
      </w:r>
      <w:r w:rsidR="00316E22">
        <w:rPr>
          <w:noProof/>
        </w:rPr>
        <w:t>2</w:t>
      </w:r>
      <w:r w:rsidR="00316E22">
        <w:rPr>
          <w:lang w:eastAsia="x-none"/>
        </w:rPr>
        <w:fldChar w:fldCharType="end"/>
      </w:r>
      <w:r w:rsidR="00316E22">
        <w:rPr>
          <w:lang w:eastAsia="x-none"/>
        </w:rPr>
        <w:t xml:space="preserve">, subfigure (a) is the original DL and UL timing relationship, where Tp is the propagation </w:t>
      </w:r>
      <w:r w:rsidR="00316E22">
        <w:rPr>
          <w:lang w:eastAsia="x-none"/>
        </w:rPr>
        <w:lastRenderedPageBreak/>
        <w:t xml:space="preserve">delay (assumed to be same for both DL and UL). In </w:t>
      </w:r>
      <w:r w:rsidR="00316E22">
        <w:rPr>
          <w:lang w:eastAsia="x-none"/>
        </w:rPr>
        <w:fldChar w:fldCharType="begin"/>
      </w:r>
      <w:r w:rsidR="00316E22">
        <w:rPr>
          <w:lang w:eastAsia="x-none"/>
        </w:rPr>
        <w:instrText xml:space="preserve"> REF _Ref7637487 \h </w:instrText>
      </w:r>
      <w:r w:rsidR="00316E22">
        <w:rPr>
          <w:lang w:eastAsia="x-none"/>
        </w:rPr>
      </w:r>
      <w:r w:rsidR="00316E22">
        <w:rPr>
          <w:lang w:eastAsia="x-none"/>
        </w:rPr>
        <w:fldChar w:fldCharType="separate"/>
      </w:r>
      <w:r w:rsidR="00316E22">
        <w:t xml:space="preserve">Figure </w:t>
      </w:r>
      <w:r w:rsidR="00316E22">
        <w:rPr>
          <w:noProof/>
        </w:rPr>
        <w:t>2</w:t>
      </w:r>
      <w:r w:rsidR="00316E22">
        <w:rPr>
          <w:lang w:eastAsia="x-none"/>
        </w:rPr>
        <w:fldChar w:fldCharType="end"/>
      </w:r>
      <w:r w:rsidR="00316E22">
        <w:rPr>
          <w:lang w:eastAsia="x-none"/>
        </w:rPr>
        <w:t>(b), the propagation delay becomes Tp + delta,</w:t>
      </w:r>
      <w:r w:rsidR="00431D40">
        <w:rPr>
          <w:lang w:eastAsia="x-none"/>
        </w:rPr>
        <w:t xml:space="preserve"> and</w:t>
      </w:r>
      <w:r w:rsidR="00316E22">
        <w:rPr>
          <w:lang w:eastAsia="x-none"/>
        </w:rPr>
        <w:t xml:space="preserve"> the correct UE UL timing to achieve </w:t>
      </w:r>
      <w:r w:rsidR="00431D40">
        <w:rPr>
          <w:lang w:eastAsia="x-none"/>
        </w:rPr>
        <w:t>the same</w:t>
      </w:r>
      <w:r w:rsidR="00316E22">
        <w:rPr>
          <w:lang w:eastAsia="x-none"/>
        </w:rPr>
        <w:t xml:space="preserve"> receive timing at BS side is shown in green. </w:t>
      </w:r>
    </w:p>
    <w:p w14:paraId="2E96F6BE" w14:textId="4F4AC5F5" w:rsidR="00431D40" w:rsidRDefault="00431D40" w:rsidP="00431D40">
      <w:pPr>
        <w:pStyle w:val="ListParagraph"/>
        <w:numPr>
          <w:ilvl w:val="0"/>
          <w:numId w:val="41"/>
        </w:numPr>
        <w:jc w:val="both"/>
        <w:rPr>
          <w:lang w:eastAsia="x-none"/>
        </w:rPr>
      </w:pPr>
      <w:r>
        <w:rPr>
          <w:lang w:eastAsia="x-none"/>
        </w:rPr>
        <w:t>I</w:t>
      </w:r>
      <w:r w:rsidR="00316E22">
        <w:rPr>
          <w:lang w:eastAsia="x-none"/>
        </w:rPr>
        <w:t xml:space="preserve">f we take the previous UL transmit timing as the reference, then UE actually needs to further advance its UL timing by delta, as shown in </w:t>
      </w:r>
      <w:r w:rsidR="00316E22" w:rsidRPr="00431D40">
        <w:rPr>
          <w:color w:val="FF0000"/>
          <w:lang w:eastAsia="x-none"/>
        </w:rPr>
        <w:t>red</w:t>
      </w:r>
      <w:r w:rsidR="00316E22">
        <w:rPr>
          <w:lang w:eastAsia="x-none"/>
        </w:rPr>
        <w:t xml:space="preserve">. </w:t>
      </w:r>
    </w:p>
    <w:p w14:paraId="7279E88C" w14:textId="2141DF57" w:rsidR="000F38B9" w:rsidRDefault="00431D40" w:rsidP="00431D40">
      <w:pPr>
        <w:pStyle w:val="ListParagraph"/>
        <w:numPr>
          <w:ilvl w:val="0"/>
          <w:numId w:val="41"/>
        </w:numPr>
        <w:jc w:val="both"/>
        <w:rPr>
          <w:lang w:eastAsia="x-none"/>
        </w:rPr>
      </w:pPr>
      <w:r>
        <w:rPr>
          <w:lang w:eastAsia="x-none"/>
        </w:rPr>
        <w:t>I</w:t>
      </w:r>
      <w:r w:rsidR="00316E22">
        <w:rPr>
          <w:lang w:eastAsia="x-none"/>
        </w:rPr>
        <w:t xml:space="preserve">f we take the new DL timing (which is already delayed by delta) as the reference, then UE has to advance by 2*delta, as shown in </w:t>
      </w:r>
      <w:r w:rsidR="00316E22" w:rsidRPr="00431D40">
        <w:rPr>
          <w:color w:val="0000FF"/>
          <w:lang w:eastAsia="x-none"/>
        </w:rPr>
        <w:t>blue</w:t>
      </w:r>
      <w:r w:rsidR="00316E22">
        <w:rPr>
          <w:lang w:eastAsia="x-none"/>
        </w:rPr>
        <w:t>.</w:t>
      </w:r>
    </w:p>
    <w:p w14:paraId="0949D17A" w14:textId="476991DC" w:rsidR="004F6C3E" w:rsidRDefault="004F6C3E" w:rsidP="004F6C3E">
      <w:pPr>
        <w:jc w:val="center"/>
        <w:rPr>
          <w:lang w:eastAsia="x-none"/>
        </w:rPr>
      </w:pPr>
      <w:r w:rsidRPr="004F6C3E">
        <w:rPr>
          <w:noProof/>
          <w:lang w:eastAsia="zh-TW"/>
        </w:rPr>
        <w:drawing>
          <wp:inline distT="0" distB="0" distL="0" distR="0" wp14:anchorId="29862959" wp14:editId="65BDCB71">
            <wp:extent cx="6120765" cy="2359458"/>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359458"/>
                    </a:xfrm>
                    <a:prstGeom prst="rect">
                      <a:avLst/>
                    </a:prstGeom>
                    <a:noFill/>
                    <a:ln>
                      <a:noFill/>
                    </a:ln>
                  </pic:spPr>
                </pic:pic>
              </a:graphicData>
            </a:graphic>
          </wp:inline>
        </w:drawing>
      </w:r>
      <w:r w:rsidRPr="004F6C3E">
        <w:rPr>
          <w:lang w:eastAsia="x-none"/>
        </w:rPr>
        <w:t xml:space="preserve"> </w:t>
      </w:r>
    </w:p>
    <w:p w14:paraId="6FF5E546" w14:textId="6FF4FBBD" w:rsidR="004F6C3E" w:rsidRPr="003D5507" w:rsidRDefault="004F6C3E" w:rsidP="004F6C3E">
      <w:pPr>
        <w:pStyle w:val="Caption"/>
        <w:jc w:val="center"/>
        <w:rPr>
          <w:lang w:val="en-US"/>
        </w:rPr>
      </w:pPr>
      <w:bookmarkStart w:id="3" w:name="_Ref7637487"/>
      <w:r>
        <w:t xml:space="preserve">Figure </w:t>
      </w:r>
      <w:r>
        <w:fldChar w:fldCharType="begin"/>
      </w:r>
      <w:r>
        <w:instrText xml:space="preserve"> SEQ Figure \* ARABIC </w:instrText>
      </w:r>
      <w:r>
        <w:fldChar w:fldCharType="separate"/>
      </w:r>
      <w:r>
        <w:rPr>
          <w:noProof/>
        </w:rPr>
        <w:t>2</w:t>
      </w:r>
      <w:r>
        <w:rPr>
          <w:noProof/>
        </w:rPr>
        <w:fldChar w:fldCharType="end"/>
      </w:r>
      <w:bookmarkEnd w:id="3"/>
      <w:r>
        <w:rPr>
          <w:lang w:val="en-US"/>
        </w:rPr>
        <w:t>. How to capture the amount of one-shot timing adjustment based on different reference point: 1) previous UL timing and 2) new DL timing</w:t>
      </w:r>
    </w:p>
    <w:p w14:paraId="59C12DF4" w14:textId="77777777" w:rsidR="00316E22" w:rsidRDefault="00316E22" w:rsidP="00D11C98">
      <w:pPr>
        <w:jc w:val="both"/>
        <w:rPr>
          <w:lang w:eastAsia="x-none"/>
        </w:rPr>
      </w:pPr>
    </w:p>
    <w:p w14:paraId="3614DF5E" w14:textId="19C6D854" w:rsidR="004F6C3E" w:rsidRDefault="00316E22" w:rsidP="00D11C98">
      <w:pPr>
        <w:jc w:val="both"/>
        <w:rPr>
          <w:lang w:eastAsia="x-none"/>
        </w:rPr>
      </w:pPr>
      <w:r>
        <w:rPr>
          <w:lang w:eastAsia="x-none"/>
        </w:rPr>
        <w:t>Actually, we have no strong view to take either one as the reference. But it is important that RAN4 needs to have a common understanding on how to capture this issue in spec.</w:t>
      </w:r>
    </w:p>
    <w:p w14:paraId="3FCF9654" w14:textId="6AED2BD7" w:rsidR="00316E22" w:rsidRPr="00316E22" w:rsidRDefault="00316E22" w:rsidP="00316E22">
      <w:pPr>
        <w:pStyle w:val="Caption"/>
        <w:rPr>
          <w:lang w:val="en-US"/>
        </w:rPr>
      </w:pPr>
      <w:bookmarkStart w:id="4" w:name="_Ref7721571"/>
      <w:r>
        <w:t xml:space="preserve">Proposal </w:t>
      </w:r>
      <w:r w:rsidR="00CE55E8">
        <w:rPr>
          <w:noProof/>
        </w:rPr>
        <w:fldChar w:fldCharType="begin"/>
      </w:r>
      <w:r w:rsidR="00CE55E8">
        <w:rPr>
          <w:noProof/>
        </w:rPr>
        <w:instrText xml:space="preserve"> SEQ Proposal \* ARABIC </w:instrText>
      </w:r>
      <w:r w:rsidR="00CE55E8">
        <w:rPr>
          <w:noProof/>
        </w:rPr>
        <w:fldChar w:fldCharType="separate"/>
      </w:r>
      <w:r w:rsidR="00206F6B">
        <w:rPr>
          <w:noProof/>
        </w:rPr>
        <w:t>2</w:t>
      </w:r>
      <w:r w:rsidR="00CE55E8">
        <w:rPr>
          <w:noProof/>
        </w:rPr>
        <w:fldChar w:fldCharType="end"/>
      </w:r>
      <w:r>
        <w:rPr>
          <w:lang w:val="en-US"/>
        </w:rPr>
        <w:t xml:space="preserve">: </w:t>
      </w:r>
      <w:r w:rsidR="002E2DB3">
        <w:rPr>
          <w:lang w:val="en-US"/>
        </w:rPr>
        <w:t>The magnitude of one-shot timing adjustment needs to maintain the same UL receive timing at the BS side. RAN4 needs to clarify which refe</w:t>
      </w:r>
      <w:r w:rsidR="00396692">
        <w:rPr>
          <w:lang w:val="en-US"/>
        </w:rPr>
        <w:t>rence point to be used.</w:t>
      </w:r>
      <w:bookmarkEnd w:id="4"/>
    </w:p>
    <w:p w14:paraId="4C628EBF" w14:textId="77777777" w:rsidR="004F6C3E" w:rsidRDefault="004F6C3E" w:rsidP="00D11C98">
      <w:pPr>
        <w:jc w:val="both"/>
        <w:rPr>
          <w:lang w:eastAsia="x-none"/>
        </w:rPr>
      </w:pPr>
    </w:p>
    <w:p w14:paraId="526A722D" w14:textId="46F845AD" w:rsidR="004F6C3E" w:rsidRDefault="00396692" w:rsidP="00396692">
      <w:pPr>
        <w:jc w:val="both"/>
        <w:rPr>
          <w:lang w:eastAsia="x-none"/>
        </w:rPr>
      </w:pPr>
      <w:r>
        <w:rPr>
          <w:lang w:eastAsia="x-none"/>
        </w:rPr>
        <w:t>UE will perform a more accurate timing tracking on the serving beam (TX-RX beam pair) in order to meet the need for demodulation performance such as high QAM and avoid ISI as much as possible. Also, on this serving beam, there are DMRS for PDCCH/PDSCH that can be used for timing tracking in addition to SSB. However, for non-serving beam</w:t>
      </w:r>
      <w:r w:rsidR="00564315">
        <w:rPr>
          <w:lang w:eastAsia="x-none"/>
        </w:rPr>
        <w:t>s</w:t>
      </w:r>
      <w:r>
        <w:rPr>
          <w:lang w:eastAsia="x-none"/>
        </w:rPr>
        <w:t xml:space="preserve">, usually UE only needs to perform L3/L1 measurements. Typically, measurements are based on signal power, which is relatively more robust to timing error. Therefore, there is no intention for UE to perform timing tracking as accurate as that on the serving beam. </w:t>
      </w:r>
    </w:p>
    <w:p w14:paraId="01BBC16B" w14:textId="3D95DE6E" w:rsidR="00396692" w:rsidRDefault="00396692" w:rsidP="00396692">
      <w:pPr>
        <w:jc w:val="both"/>
        <w:rPr>
          <w:lang w:eastAsia="x-none"/>
        </w:rPr>
      </w:pPr>
      <w:r>
        <w:rPr>
          <w:lang w:eastAsia="x-none"/>
        </w:rPr>
        <w:t>As a result, if the UL timing requirements is Te for serving beam, then the requirement for non-serving beam should certainly be larger than Te</w:t>
      </w:r>
      <w:r w:rsidRPr="00A96677">
        <w:rPr>
          <w:lang w:eastAsia="x-none"/>
        </w:rPr>
        <w:t xml:space="preserve">. In based on our evaluation, the UL timing accuracy could be up to </w:t>
      </w:r>
      <w:commentRangeStart w:id="5"/>
      <w:r w:rsidR="00A96677" w:rsidRPr="00A96677">
        <w:rPr>
          <w:highlight w:val="yellow"/>
          <w:lang w:eastAsia="x-none"/>
        </w:rPr>
        <w:t>TBD</w:t>
      </w:r>
      <w:commentRangeEnd w:id="5"/>
      <w:r w:rsidR="00A96677">
        <w:rPr>
          <w:rStyle w:val="CommentReference"/>
          <w:rFonts w:eastAsia="MS Mincho"/>
        </w:rPr>
        <w:commentReference w:id="5"/>
      </w:r>
      <w:r>
        <w:rPr>
          <w:lang w:eastAsia="x-none"/>
        </w:rPr>
        <w:t xml:space="preserve"> at SNR -3dB for 90% of the time. </w:t>
      </w:r>
    </w:p>
    <w:p w14:paraId="58AB136B" w14:textId="5C9969A8" w:rsidR="004F6C3E" w:rsidRPr="00396692" w:rsidRDefault="00396692" w:rsidP="00396692">
      <w:pPr>
        <w:pStyle w:val="Caption"/>
        <w:rPr>
          <w:lang w:val="en-US"/>
        </w:rPr>
      </w:pPr>
      <w:bookmarkStart w:id="6" w:name="_Ref7721572"/>
      <w:r>
        <w:t xml:space="preserve">Proposal </w:t>
      </w:r>
      <w:r w:rsidR="00CE55E8">
        <w:rPr>
          <w:noProof/>
        </w:rPr>
        <w:fldChar w:fldCharType="begin"/>
      </w:r>
      <w:r w:rsidR="00CE55E8">
        <w:rPr>
          <w:noProof/>
        </w:rPr>
        <w:instrText xml:space="preserve"> SEQ Proposal \* ARABIC </w:instrText>
      </w:r>
      <w:r w:rsidR="00CE55E8">
        <w:rPr>
          <w:noProof/>
        </w:rPr>
        <w:fldChar w:fldCharType="separate"/>
      </w:r>
      <w:r w:rsidR="00206F6B">
        <w:rPr>
          <w:noProof/>
        </w:rPr>
        <w:t>3</w:t>
      </w:r>
      <w:r w:rsidR="00CE55E8">
        <w:rPr>
          <w:noProof/>
        </w:rPr>
        <w:fldChar w:fldCharType="end"/>
      </w:r>
      <w:r>
        <w:rPr>
          <w:lang w:val="en-US"/>
        </w:rPr>
        <w:t>: The accuracy of one-shot timing adjustment</w:t>
      </w:r>
      <w:r w:rsidR="00C219F9">
        <w:rPr>
          <w:lang w:val="en-US"/>
        </w:rPr>
        <w:t xml:space="preserve"> (Te1)</w:t>
      </w:r>
      <w:r>
        <w:rPr>
          <w:lang w:val="en-US"/>
        </w:rPr>
        <w:t xml:space="preserve"> is </w:t>
      </w:r>
      <w:commentRangeStart w:id="7"/>
      <w:r w:rsidR="00A96677" w:rsidRPr="00A96677">
        <w:rPr>
          <w:highlight w:val="yellow"/>
          <w:lang w:val="en-US"/>
        </w:rPr>
        <w:t>TBD</w:t>
      </w:r>
      <w:commentRangeEnd w:id="7"/>
      <w:r w:rsidR="00A96677">
        <w:rPr>
          <w:rStyle w:val="CommentReference"/>
          <w:rFonts w:eastAsia="MS Mincho"/>
          <w:b w:val="0"/>
          <w:szCs w:val="22"/>
          <w:lang w:val="en-US" w:eastAsia="zh-CN"/>
        </w:rPr>
        <w:commentReference w:id="7"/>
      </w:r>
      <w:r w:rsidR="00C219F9">
        <w:rPr>
          <w:lang w:val="en-US"/>
        </w:rPr>
        <w:t xml:space="preserve"> at SNR -3dB for 90% of the time.</w:t>
      </w:r>
      <w:bookmarkEnd w:id="6"/>
    </w:p>
    <w:p w14:paraId="4FDE8316" w14:textId="77777777" w:rsidR="00396692" w:rsidRPr="00396692" w:rsidRDefault="00396692" w:rsidP="00396692">
      <w:pPr>
        <w:rPr>
          <w:lang w:val="x-none" w:eastAsia="x-none"/>
        </w:rPr>
      </w:pPr>
    </w:p>
    <w:p w14:paraId="6B3F65F4" w14:textId="4707E45D" w:rsidR="00D11C98" w:rsidRDefault="00D11C98" w:rsidP="00C219F9">
      <w:pPr>
        <w:pStyle w:val="Caption"/>
        <w:jc w:val="both"/>
        <w:rPr>
          <w:u w:val="single"/>
          <w:lang w:val="en-GB" w:eastAsia="en-US"/>
        </w:rPr>
      </w:pPr>
      <w:r w:rsidRPr="00D11C98">
        <w:rPr>
          <w:u w:val="single"/>
          <w:lang w:eastAsia="en-US"/>
        </w:rPr>
        <w:t xml:space="preserve">The threshold </w:t>
      </w:r>
      <w:r w:rsidRPr="00D11C98">
        <w:rPr>
          <w:u w:val="single"/>
          <w:lang w:eastAsia="zh-CN"/>
        </w:rPr>
        <w:sym w:font="Symbol" w:char="F044"/>
      </w:r>
      <w:r w:rsidRPr="00D11C98">
        <w:rPr>
          <w:u w:val="single"/>
          <w:lang w:val="en-GB" w:eastAsia="en-US"/>
        </w:rPr>
        <w:t>T</w:t>
      </w:r>
    </w:p>
    <w:p w14:paraId="14D093E3" w14:textId="398300F9" w:rsidR="00C219F9" w:rsidRPr="00C219F9" w:rsidRDefault="00C219F9" w:rsidP="00C219F9">
      <w:pPr>
        <w:jc w:val="both"/>
        <w:rPr>
          <w:lang w:val="en-GB" w:eastAsia="en-US"/>
        </w:rPr>
      </w:pPr>
      <w:r>
        <w:rPr>
          <w:lang w:val="en-GB" w:eastAsia="en-US"/>
        </w:rPr>
        <w:t xml:space="preserve">In our understanding, the threshold </w:t>
      </w:r>
      <w:r w:rsidRPr="00C219F9">
        <w:sym w:font="Symbol" w:char="F044"/>
      </w:r>
      <w:r w:rsidRPr="00C219F9">
        <w:rPr>
          <w:lang w:val="en-GB" w:eastAsia="en-US"/>
        </w:rPr>
        <w:t>T</w:t>
      </w:r>
      <w:r>
        <w:rPr>
          <w:lang w:val="en-GB" w:eastAsia="en-US"/>
        </w:rPr>
        <w:t xml:space="preserve"> should be at least larger than the sum of Te and Te1 (with some margin)</w:t>
      </w:r>
      <w:r w:rsidR="003B5C60">
        <w:rPr>
          <w:lang w:val="en-GB" w:eastAsia="en-US"/>
        </w:rPr>
        <w:t xml:space="preserve">, as shown </w:t>
      </w:r>
      <w:r w:rsidR="003B5C60" w:rsidRPr="003B5C60">
        <w:rPr>
          <w:lang w:val="en-GB" w:eastAsia="en-US"/>
        </w:rPr>
        <w:t xml:space="preserve">in </w:t>
      </w:r>
      <w:r w:rsidR="003B5C60" w:rsidRPr="003B5C60">
        <w:rPr>
          <w:lang w:val="en-GB" w:eastAsia="en-US"/>
        </w:rPr>
        <w:fldChar w:fldCharType="begin"/>
      </w:r>
      <w:r w:rsidR="003B5C60" w:rsidRPr="003B5C60">
        <w:rPr>
          <w:lang w:val="en-GB" w:eastAsia="en-US"/>
        </w:rPr>
        <w:instrText xml:space="preserve"> REF _Ref7640285 \h  \* MERGEFORMAT </w:instrText>
      </w:r>
      <w:r w:rsidR="003B5C60" w:rsidRPr="003B5C60">
        <w:rPr>
          <w:lang w:val="en-GB" w:eastAsia="en-US"/>
        </w:rPr>
      </w:r>
      <w:r w:rsidR="003B5C60" w:rsidRPr="003B5C60">
        <w:rPr>
          <w:lang w:val="en-GB" w:eastAsia="en-US"/>
        </w:rPr>
        <w:fldChar w:fldCharType="separate"/>
      </w:r>
      <w:r w:rsidR="003B5C60" w:rsidRPr="003B5C60">
        <w:t xml:space="preserve">Figure </w:t>
      </w:r>
      <w:r w:rsidR="003B5C60" w:rsidRPr="003B5C60">
        <w:rPr>
          <w:noProof/>
        </w:rPr>
        <w:t>3</w:t>
      </w:r>
      <w:r w:rsidR="003B5C60" w:rsidRPr="003B5C60">
        <w:rPr>
          <w:lang w:val="en-GB" w:eastAsia="en-US"/>
        </w:rPr>
        <w:fldChar w:fldCharType="end"/>
      </w:r>
      <w:r w:rsidR="003B5C60">
        <w:rPr>
          <w:lang w:val="en-GB" w:eastAsia="en-US"/>
        </w:rPr>
        <w:t>.</w:t>
      </w:r>
      <w:r w:rsidRPr="003B5C60">
        <w:rPr>
          <w:lang w:val="en-GB" w:eastAsia="en-US"/>
        </w:rPr>
        <w:t xml:space="preserve"> So that</w:t>
      </w:r>
      <w:r>
        <w:rPr>
          <w:lang w:val="en-GB" w:eastAsia="en-US"/>
        </w:rPr>
        <w:t xml:space="preserve"> we can guarantee that the UL timing accuracy will not introduce problem in UE’s behaviour on choosing gradua</w:t>
      </w:r>
      <w:r w:rsidR="003B5C60">
        <w:rPr>
          <w:lang w:val="en-GB" w:eastAsia="en-US"/>
        </w:rPr>
        <w:t>l or one-shot timing adjustment</w:t>
      </w:r>
      <w:r w:rsidR="00564315">
        <w:rPr>
          <w:lang w:val="en-GB" w:eastAsia="en-US"/>
        </w:rPr>
        <w:t>s</w:t>
      </w:r>
      <w:r w:rsidR="003B5C60">
        <w:rPr>
          <w:lang w:val="en-GB" w:eastAsia="en-US"/>
        </w:rPr>
        <w:t>.</w:t>
      </w:r>
    </w:p>
    <w:p w14:paraId="66382276" w14:textId="0F42C3EE" w:rsidR="003B5C60" w:rsidRDefault="00C219F9" w:rsidP="003B5C60">
      <w:pPr>
        <w:jc w:val="center"/>
        <w:rPr>
          <w:lang w:eastAsia="x-none"/>
        </w:rPr>
      </w:pPr>
      <w:r w:rsidRPr="00C219F9">
        <w:rPr>
          <w:noProof/>
          <w:lang w:eastAsia="zh-TW"/>
        </w:rPr>
        <w:lastRenderedPageBreak/>
        <w:drawing>
          <wp:inline distT="0" distB="0" distL="0" distR="0" wp14:anchorId="55D61460" wp14:editId="775399B0">
            <wp:extent cx="3070838" cy="11922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2964" cy="1200880"/>
                    </a:xfrm>
                    <a:prstGeom prst="rect">
                      <a:avLst/>
                    </a:prstGeom>
                    <a:noFill/>
                    <a:ln>
                      <a:noFill/>
                    </a:ln>
                  </pic:spPr>
                </pic:pic>
              </a:graphicData>
            </a:graphic>
          </wp:inline>
        </w:drawing>
      </w:r>
      <w:r w:rsidR="003B5C60" w:rsidRPr="003B5C60">
        <w:rPr>
          <w:lang w:eastAsia="x-none"/>
        </w:rPr>
        <w:t xml:space="preserve"> </w:t>
      </w:r>
    </w:p>
    <w:p w14:paraId="3B97AB23" w14:textId="6C1CFA86" w:rsidR="00C219F9" w:rsidRDefault="003B5C60" w:rsidP="003B5C60">
      <w:pPr>
        <w:jc w:val="center"/>
        <w:rPr>
          <w:b/>
          <w:lang w:val="en-GB" w:eastAsia="en-US"/>
        </w:rPr>
      </w:pPr>
      <w:bookmarkStart w:id="8" w:name="_Ref7640285"/>
      <w:r w:rsidRPr="003B5C60">
        <w:rPr>
          <w:b/>
        </w:rPr>
        <w:t xml:space="preserve">Figure </w:t>
      </w:r>
      <w:r w:rsidRPr="003B5C60">
        <w:rPr>
          <w:b/>
        </w:rPr>
        <w:fldChar w:fldCharType="begin"/>
      </w:r>
      <w:r w:rsidRPr="003B5C60">
        <w:rPr>
          <w:b/>
        </w:rPr>
        <w:instrText xml:space="preserve"> SEQ Figure \* ARABIC </w:instrText>
      </w:r>
      <w:r w:rsidRPr="003B5C60">
        <w:rPr>
          <w:b/>
        </w:rPr>
        <w:fldChar w:fldCharType="separate"/>
      </w:r>
      <w:r w:rsidRPr="003B5C60">
        <w:rPr>
          <w:b/>
          <w:noProof/>
        </w:rPr>
        <w:t>3</w:t>
      </w:r>
      <w:r w:rsidRPr="003B5C60">
        <w:rPr>
          <w:b/>
          <w:noProof/>
        </w:rPr>
        <w:fldChar w:fldCharType="end"/>
      </w:r>
      <w:bookmarkEnd w:id="8"/>
      <w:r w:rsidRPr="003B5C60">
        <w:rPr>
          <w:b/>
        </w:rPr>
        <w:t xml:space="preserve">. </w:t>
      </w:r>
      <w:r w:rsidRPr="003B5C60">
        <w:rPr>
          <w:b/>
        </w:rPr>
        <w:sym w:font="Symbol" w:char="F044"/>
      </w:r>
      <w:r w:rsidRPr="003B5C60">
        <w:rPr>
          <w:b/>
          <w:lang w:val="en-GB" w:eastAsia="en-US"/>
        </w:rPr>
        <w:t>T should be larger than Te + Te1</w:t>
      </w:r>
    </w:p>
    <w:p w14:paraId="2EC3CA7C" w14:textId="34334247" w:rsidR="003B5C60" w:rsidRDefault="003B5C60" w:rsidP="003B5C60">
      <w:pPr>
        <w:pStyle w:val="Caption"/>
        <w:rPr>
          <w:lang w:val="en-GB" w:eastAsia="en-US"/>
        </w:rPr>
      </w:pPr>
      <w:bookmarkStart w:id="9" w:name="_Ref7721574"/>
      <w:r w:rsidRPr="003B5C60">
        <w:t xml:space="preserve">Proposal </w:t>
      </w:r>
      <w:r w:rsidR="00CE55E8">
        <w:rPr>
          <w:noProof/>
        </w:rPr>
        <w:fldChar w:fldCharType="begin"/>
      </w:r>
      <w:r w:rsidR="00CE55E8">
        <w:rPr>
          <w:noProof/>
        </w:rPr>
        <w:instrText xml:space="preserve"> SEQ Proposal \* ARABIC </w:instrText>
      </w:r>
      <w:r w:rsidR="00CE55E8">
        <w:rPr>
          <w:noProof/>
        </w:rPr>
        <w:fldChar w:fldCharType="separate"/>
      </w:r>
      <w:r w:rsidR="00206F6B">
        <w:rPr>
          <w:noProof/>
        </w:rPr>
        <w:t>4</w:t>
      </w:r>
      <w:r w:rsidR="00CE55E8">
        <w:rPr>
          <w:noProof/>
        </w:rPr>
        <w:fldChar w:fldCharType="end"/>
      </w:r>
      <w:r w:rsidRPr="003B5C60">
        <w:rPr>
          <w:lang w:val="en-US"/>
        </w:rPr>
        <w:t xml:space="preserve">: </w:t>
      </w:r>
      <w:r w:rsidRPr="003B5C60">
        <w:rPr>
          <w:lang w:eastAsia="zh-CN"/>
        </w:rPr>
        <w:sym w:font="Symbol" w:char="F044"/>
      </w:r>
      <w:r w:rsidRPr="003B5C60">
        <w:rPr>
          <w:lang w:val="en-GB" w:eastAsia="en-US"/>
        </w:rPr>
        <w:t>T should be larger than Te + Te1</w:t>
      </w:r>
      <w:r>
        <w:rPr>
          <w:lang w:val="en-GB" w:eastAsia="en-US"/>
        </w:rPr>
        <w:t>. Some margin may need to be considered.</w:t>
      </w:r>
      <w:bookmarkEnd w:id="9"/>
    </w:p>
    <w:p w14:paraId="31050B3F" w14:textId="77777777" w:rsidR="00CF6D2F" w:rsidRDefault="00CF6D2F" w:rsidP="0030043E">
      <w:pPr>
        <w:rPr>
          <w:b/>
          <w:sz w:val="20"/>
          <w:szCs w:val="20"/>
          <w:lang w:eastAsia="x-none"/>
        </w:rPr>
      </w:pPr>
    </w:p>
    <w:p w14:paraId="08F50253" w14:textId="5F9C344B" w:rsidR="00206F6B" w:rsidRPr="00206F6B" w:rsidRDefault="00206F6B" w:rsidP="0030043E">
      <w:pPr>
        <w:rPr>
          <w:b/>
          <w:sz w:val="20"/>
          <w:szCs w:val="20"/>
          <w:u w:val="single"/>
          <w:lang w:eastAsia="x-none"/>
        </w:rPr>
      </w:pPr>
      <w:r>
        <w:rPr>
          <w:b/>
          <w:u w:val="single"/>
          <w:lang w:eastAsia="en-US"/>
        </w:rPr>
        <w:t>I</w:t>
      </w:r>
      <w:r w:rsidRPr="00206F6B">
        <w:rPr>
          <w:b/>
          <w:u w:val="single"/>
          <w:lang w:eastAsia="en-US"/>
        </w:rPr>
        <w:t>nterruption requirement</w:t>
      </w:r>
    </w:p>
    <w:p w14:paraId="34F62BB6" w14:textId="262E5874" w:rsidR="00206F6B" w:rsidRDefault="00206F6B" w:rsidP="00973518">
      <w:pPr>
        <w:spacing w:after="0"/>
        <w:jc w:val="both"/>
        <w:rPr>
          <w:lang w:val="en-GB" w:eastAsia="en-US"/>
        </w:rPr>
      </w:pPr>
      <w:r>
        <w:rPr>
          <w:sz w:val="20"/>
          <w:szCs w:val="20"/>
          <w:lang w:eastAsia="x-none"/>
        </w:rPr>
        <w:t xml:space="preserve">The larger value of </w:t>
      </w:r>
      <w:r w:rsidRPr="003B5C60">
        <w:sym w:font="Symbol" w:char="F044"/>
      </w:r>
      <w:r w:rsidRPr="003B5C60">
        <w:rPr>
          <w:lang w:val="en-GB" w:eastAsia="en-US"/>
        </w:rPr>
        <w:t>T</w:t>
      </w:r>
      <w:r>
        <w:rPr>
          <w:lang w:val="en-GB" w:eastAsia="en-US"/>
        </w:rPr>
        <w:t xml:space="preserve"> implies the more unlikely UE needs </w:t>
      </w:r>
      <w:r w:rsidR="00717418">
        <w:rPr>
          <w:lang w:val="en-GB" w:eastAsia="en-US"/>
        </w:rPr>
        <w:t xml:space="preserve">to </w:t>
      </w:r>
      <w:r>
        <w:rPr>
          <w:lang w:val="en-GB" w:eastAsia="en-US"/>
        </w:rPr>
        <w:t xml:space="preserve">conduct this one-shot timing adjustment. If </w:t>
      </w:r>
      <w:r w:rsidRPr="003B5C60">
        <w:sym w:font="Symbol" w:char="F044"/>
      </w:r>
      <w:r w:rsidRPr="003B5C60">
        <w:rPr>
          <w:lang w:val="en-GB" w:eastAsia="en-US"/>
        </w:rPr>
        <w:t>T</w:t>
      </w:r>
      <w:r>
        <w:rPr>
          <w:lang w:val="en-GB" w:eastAsia="en-US"/>
        </w:rPr>
        <w:t xml:space="preserve"> is sufficiently large, we think it is fine to introduce the interruption requirement only when UE needs to perform one-shot timing adjustment. To us, it is more like a mechanism to handle a corner situation </w:t>
      </w:r>
    </w:p>
    <w:p w14:paraId="5670E2A6" w14:textId="77777777" w:rsidR="00206F6B" w:rsidRDefault="00206F6B" w:rsidP="00973518">
      <w:pPr>
        <w:spacing w:after="0"/>
        <w:jc w:val="both"/>
        <w:rPr>
          <w:lang w:val="en-GB" w:eastAsia="en-US"/>
        </w:rPr>
      </w:pPr>
    </w:p>
    <w:p w14:paraId="068F0F9F" w14:textId="0FDCB666" w:rsidR="00206F6B" w:rsidRDefault="00206F6B" w:rsidP="0086192A">
      <w:pPr>
        <w:pStyle w:val="Caption"/>
      </w:pPr>
      <w:bookmarkStart w:id="10" w:name="_Ref7721575"/>
      <w:r>
        <w:t xml:space="preserve">Proposal </w:t>
      </w:r>
      <w:r w:rsidR="00CE55E8">
        <w:rPr>
          <w:noProof/>
        </w:rPr>
        <w:fldChar w:fldCharType="begin"/>
      </w:r>
      <w:r w:rsidR="00CE55E8">
        <w:rPr>
          <w:noProof/>
        </w:rPr>
        <w:instrText xml:space="preserve"> SEQ Proposal \* ARABIC </w:instrText>
      </w:r>
      <w:r w:rsidR="00CE55E8">
        <w:rPr>
          <w:noProof/>
        </w:rPr>
        <w:fldChar w:fldCharType="separate"/>
      </w:r>
      <w:r>
        <w:rPr>
          <w:noProof/>
        </w:rPr>
        <w:t>5</w:t>
      </w:r>
      <w:r w:rsidR="00CE55E8">
        <w:rPr>
          <w:noProof/>
        </w:rPr>
        <w:fldChar w:fldCharType="end"/>
      </w:r>
      <w:r>
        <w:rPr>
          <w:lang w:val="en-US"/>
        </w:rPr>
        <w:t>: When UE needs to conduct one-shot timing adjustment, interruption on the next slot is allowed.</w:t>
      </w:r>
      <w:bookmarkEnd w:id="10"/>
      <w:r>
        <w:rPr>
          <w:lang w:val="en-GB" w:eastAsia="en-US"/>
        </w:rPr>
        <w:t xml:space="preserve"> </w:t>
      </w:r>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16431192" w14:textId="32B2120C" w:rsidR="00CD6241" w:rsidRDefault="006F7557" w:rsidP="00A90CEE">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FB24ED">
        <w:rPr>
          <w:rFonts w:hint="eastAsia"/>
        </w:rPr>
        <w:t xml:space="preserve"> </w:t>
      </w:r>
      <w:r w:rsidR="00381B18">
        <w:t>we discuss the issue of UE UL timing change due to Rx beam change. We have the following observation and proposal:</w:t>
      </w:r>
    </w:p>
    <w:p w14:paraId="33023E4E" w14:textId="22145636" w:rsidR="002462D2" w:rsidRPr="002462D2" w:rsidRDefault="002462D2" w:rsidP="00A90CEE">
      <w:pPr>
        <w:adjustRightInd w:val="0"/>
        <w:snapToGrid w:val="0"/>
        <w:spacing w:before="180" w:after="120"/>
        <w:jc w:val="both"/>
        <w:rPr>
          <w:b/>
        </w:rPr>
      </w:pPr>
      <w:r w:rsidRPr="002462D2">
        <w:rPr>
          <w:b/>
        </w:rPr>
        <w:fldChar w:fldCharType="begin"/>
      </w:r>
      <w:r w:rsidRPr="002462D2">
        <w:rPr>
          <w:b/>
        </w:rPr>
        <w:instrText xml:space="preserve"> REF _Ref7721570 \h </w:instrText>
      </w:r>
      <w:r>
        <w:rPr>
          <w:b/>
        </w:rPr>
        <w:instrText xml:space="preserve"> \* MERGEFORMAT </w:instrText>
      </w:r>
      <w:r w:rsidRPr="002462D2">
        <w:rPr>
          <w:b/>
        </w:rPr>
      </w:r>
      <w:r w:rsidRPr="002462D2">
        <w:rPr>
          <w:b/>
        </w:rPr>
        <w:fldChar w:fldCharType="separate"/>
      </w:r>
      <w:r w:rsidR="00042DFE" w:rsidRPr="00042DFE">
        <w:rPr>
          <w:b/>
        </w:rPr>
        <w:t xml:space="preserve">Proposal </w:t>
      </w:r>
      <w:r w:rsidR="00042DFE" w:rsidRPr="00042DFE">
        <w:rPr>
          <w:b/>
          <w:noProof/>
        </w:rPr>
        <w:t>1</w:t>
      </w:r>
      <w:r w:rsidR="00042DFE" w:rsidRPr="00042DFE">
        <w:rPr>
          <w:b/>
        </w:rPr>
        <w:t>: The direction of one-shot timing adjustment is opposite to direction of the change in DL timing.</w:t>
      </w:r>
      <w:r w:rsidRPr="002462D2">
        <w:rPr>
          <w:b/>
        </w:rPr>
        <w:fldChar w:fldCharType="end"/>
      </w:r>
    </w:p>
    <w:p w14:paraId="09E08F9D" w14:textId="013C1370" w:rsidR="002462D2" w:rsidRPr="002462D2" w:rsidRDefault="002462D2" w:rsidP="00A90CEE">
      <w:pPr>
        <w:adjustRightInd w:val="0"/>
        <w:snapToGrid w:val="0"/>
        <w:spacing w:before="180" w:after="120"/>
        <w:jc w:val="both"/>
        <w:rPr>
          <w:b/>
        </w:rPr>
      </w:pPr>
      <w:r w:rsidRPr="002462D2">
        <w:rPr>
          <w:b/>
        </w:rPr>
        <w:fldChar w:fldCharType="begin"/>
      </w:r>
      <w:r w:rsidRPr="002462D2">
        <w:rPr>
          <w:b/>
        </w:rPr>
        <w:instrText xml:space="preserve"> REF _Ref7721571 \h </w:instrText>
      </w:r>
      <w:r>
        <w:rPr>
          <w:b/>
        </w:rPr>
        <w:instrText xml:space="preserve"> \* MERGEFORMAT </w:instrText>
      </w:r>
      <w:r w:rsidRPr="002462D2">
        <w:rPr>
          <w:b/>
        </w:rPr>
      </w:r>
      <w:r w:rsidRPr="002462D2">
        <w:rPr>
          <w:b/>
        </w:rPr>
        <w:fldChar w:fldCharType="separate"/>
      </w:r>
      <w:r w:rsidR="00042DFE" w:rsidRPr="00042DFE">
        <w:rPr>
          <w:b/>
        </w:rPr>
        <w:t xml:space="preserve">Proposal </w:t>
      </w:r>
      <w:r w:rsidR="00042DFE" w:rsidRPr="00042DFE">
        <w:rPr>
          <w:b/>
          <w:noProof/>
        </w:rPr>
        <w:t>2</w:t>
      </w:r>
      <w:r w:rsidR="00042DFE" w:rsidRPr="00042DFE">
        <w:rPr>
          <w:b/>
        </w:rPr>
        <w:t>: The magnitude of one-shot timing adjustment needs to maintain the same UL receive timing at the BS side. RAN4 needs to clarify which reference point to be used.</w:t>
      </w:r>
      <w:r w:rsidRPr="002462D2">
        <w:rPr>
          <w:b/>
        </w:rPr>
        <w:fldChar w:fldCharType="end"/>
      </w:r>
    </w:p>
    <w:p w14:paraId="16CB299B" w14:textId="78C25D8A" w:rsidR="002462D2" w:rsidRPr="002462D2" w:rsidRDefault="002462D2" w:rsidP="00A90CEE">
      <w:pPr>
        <w:adjustRightInd w:val="0"/>
        <w:snapToGrid w:val="0"/>
        <w:spacing w:before="180" w:after="120"/>
        <w:jc w:val="both"/>
        <w:rPr>
          <w:b/>
        </w:rPr>
      </w:pPr>
      <w:r w:rsidRPr="002462D2">
        <w:rPr>
          <w:b/>
        </w:rPr>
        <w:fldChar w:fldCharType="begin"/>
      </w:r>
      <w:r w:rsidRPr="002462D2">
        <w:rPr>
          <w:b/>
        </w:rPr>
        <w:instrText xml:space="preserve"> REF _Ref7721572 \h </w:instrText>
      </w:r>
      <w:r>
        <w:rPr>
          <w:b/>
        </w:rPr>
        <w:instrText xml:space="preserve"> \* MERGEFORMAT </w:instrText>
      </w:r>
      <w:r w:rsidRPr="002462D2">
        <w:rPr>
          <w:b/>
        </w:rPr>
      </w:r>
      <w:r w:rsidRPr="002462D2">
        <w:rPr>
          <w:b/>
        </w:rPr>
        <w:fldChar w:fldCharType="separate"/>
      </w:r>
      <w:r w:rsidR="00042DFE" w:rsidRPr="00042DFE">
        <w:rPr>
          <w:b/>
        </w:rPr>
        <w:t xml:space="preserve">Proposal </w:t>
      </w:r>
      <w:r w:rsidR="00042DFE" w:rsidRPr="00042DFE">
        <w:rPr>
          <w:b/>
          <w:noProof/>
        </w:rPr>
        <w:t>3</w:t>
      </w:r>
      <w:r w:rsidR="00042DFE" w:rsidRPr="00042DFE">
        <w:rPr>
          <w:b/>
        </w:rPr>
        <w:t xml:space="preserve">: The accuracy of one-shot timing adjustment (Te1) is </w:t>
      </w:r>
      <w:r w:rsidR="00042DFE" w:rsidRPr="00042DFE">
        <w:rPr>
          <w:b/>
          <w:highlight w:val="yellow"/>
        </w:rPr>
        <w:t>TBD</w:t>
      </w:r>
      <w:r w:rsidR="00042DFE" w:rsidRPr="00042DFE">
        <w:rPr>
          <w:b/>
        </w:rPr>
        <w:t xml:space="preserve"> at SNR -3dB for 90% of the time.</w:t>
      </w:r>
      <w:r w:rsidRPr="002462D2">
        <w:rPr>
          <w:b/>
        </w:rPr>
        <w:fldChar w:fldCharType="end"/>
      </w:r>
    </w:p>
    <w:p w14:paraId="47536D80" w14:textId="538B7DA1" w:rsidR="002462D2" w:rsidRPr="002462D2" w:rsidRDefault="002462D2" w:rsidP="00A90CEE">
      <w:pPr>
        <w:adjustRightInd w:val="0"/>
        <w:snapToGrid w:val="0"/>
        <w:spacing w:before="180" w:after="120"/>
        <w:jc w:val="both"/>
        <w:rPr>
          <w:b/>
        </w:rPr>
      </w:pPr>
      <w:r w:rsidRPr="002462D2">
        <w:rPr>
          <w:b/>
        </w:rPr>
        <w:fldChar w:fldCharType="begin"/>
      </w:r>
      <w:r w:rsidRPr="002462D2">
        <w:rPr>
          <w:b/>
        </w:rPr>
        <w:instrText xml:space="preserve"> REF _Ref7721574 \h </w:instrText>
      </w:r>
      <w:r>
        <w:rPr>
          <w:b/>
        </w:rPr>
        <w:instrText xml:space="preserve"> \* MERGEFORMAT </w:instrText>
      </w:r>
      <w:r w:rsidRPr="002462D2">
        <w:rPr>
          <w:b/>
        </w:rPr>
      </w:r>
      <w:r w:rsidRPr="002462D2">
        <w:rPr>
          <w:b/>
        </w:rPr>
        <w:fldChar w:fldCharType="separate"/>
      </w:r>
      <w:r w:rsidR="00042DFE" w:rsidRPr="00042DFE">
        <w:rPr>
          <w:b/>
        </w:rPr>
        <w:t xml:space="preserve">Proposal </w:t>
      </w:r>
      <w:r w:rsidR="00042DFE" w:rsidRPr="00042DFE">
        <w:rPr>
          <w:b/>
          <w:noProof/>
        </w:rPr>
        <w:t>4</w:t>
      </w:r>
      <w:r w:rsidR="00042DFE" w:rsidRPr="00042DFE">
        <w:rPr>
          <w:b/>
        </w:rPr>
        <w:t xml:space="preserve">: </w:t>
      </w:r>
      <w:r w:rsidR="00042DFE" w:rsidRPr="00042DFE">
        <w:rPr>
          <w:b/>
        </w:rPr>
        <w:sym w:font="Symbol" w:char="F044"/>
      </w:r>
      <w:r w:rsidR="00042DFE" w:rsidRPr="00042DFE">
        <w:rPr>
          <w:b/>
          <w:lang w:val="en-GB" w:eastAsia="en-US"/>
        </w:rPr>
        <w:t>T should be larger than Te + Te1. Some margin may need to be considered.</w:t>
      </w:r>
      <w:r w:rsidRPr="002462D2">
        <w:rPr>
          <w:b/>
        </w:rPr>
        <w:fldChar w:fldCharType="end"/>
      </w:r>
    </w:p>
    <w:p w14:paraId="746B2B53" w14:textId="295F70AB" w:rsidR="00A90CEE" w:rsidRDefault="002462D2" w:rsidP="00A90CEE">
      <w:pPr>
        <w:adjustRightInd w:val="0"/>
        <w:snapToGrid w:val="0"/>
        <w:spacing w:before="180" w:after="120"/>
        <w:jc w:val="both"/>
      </w:pPr>
      <w:r w:rsidRPr="002462D2">
        <w:rPr>
          <w:b/>
        </w:rPr>
        <w:fldChar w:fldCharType="begin"/>
      </w:r>
      <w:r w:rsidRPr="002462D2">
        <w:rPr>
          <w:b/>
        </w:rPr>
        <w:instrText xml:space="preserve"> REF _Ref7721575 \h </w:instrText>
      </w:r>
      <w:r>
        <w:rPr>
          <w:b/>
        </w:rPr>
        <w:instrText xml:space="preserve"> \* MERGEFORMAT </w:instrText>
      </w:r>
      <w:r w:rsidRPr="002462D2">
        <w:rPr>
          <w:b/>
        </w:rPr>
      </w:r>
      <w:r w:rsidRPr="002462D2">
        <w:rPr>
          <w:b/>
        </w:rPr>
        <w:fldChar w:fldCharType="separate"/>
      </w:r>
      <w:r w:rsidR="00042DFE" w:rsidRPr="00042DFE">
        <w:rPr>
          <w:b/>
        </w:rPr>
        <w:t xml:space="preserve">Proposal </w:t>
      </w:r>
      <w:r w:rsidR="00042DFE" w:rsidRPr="00042DFE">
        <w:rPr>
          <w:b/>
          <w:noProof/>
        </w:rPr>
        <w:t>5</w:t>
      </w:r>
      <w:r w:rsidR="00042DFE" w:rsidRPr="00042DFE">
        <w:rPr>
          <w:b/>
        </w:rPr>
        <w:t>: When UE needs to conduct one-shot timing adjustment, interruption on the next slot is allowed.</w:t>
      </w:r>
      <w:r w:rsidRPr="002462D2">
        <w:rPr>
          <w:b/>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6D7CCB1A" w14:textId="025E609E" w:rsidR="00355BCB" w:rsidRPr="00355BCB" w:rsidRDefault="00355BCB" w:rsidP="00355BCB">
      <w:pPr>
        <w:rPr>
          <w:lang w:eastAsia="en-US"/>
        </w:rPr>
      </w:pPr>
      <w:r>
        <w:rPr>
          <w:rFonts w:hint="eastAsia"/>
          <w:lang w:val="en-GB" w:eastAsia="en-US"/>
        </w:rPr>
        <w:t xml:space="preserve">[1] </w:t>
      </w:r>
      <w:r w:rsidR="009872C2" w:rsidRPr="009872C2">
        <w:rPr>
          <w:lang w:eastAsia="en-US"/>
        </w:rPr>
        <w:t>R4-1904850</w:t>
      </w:r>
      <w:r w:rsidR="009872C2" w:rsidRPr="009872C2">
        <w:rPr>
          <w:lang w:eastAsia="en-US"/>
        </w:rPr>
        <w:tab/>
      </w:r>
      <w:r w:rsidR="009872C2">
        <w:rPr>
          <w:lang w:eastAsia="en-US"/>
        </w:rPr>
        <w:t>“</w:t>
      </w:r>
      <w:r w:rsidR="009872C2" w:rsidRPr="009872C2">
        <w:rPr>
          <w:lang w:eastAsia="en-US"/>
        </w:rPr>
        <w:t>Section 7.1: UE Transmit Timing Requirements under Beam Switch</w:t>
      </w:r>
      <w:r w:rsidR="009872C2">
        <w:rPr>
          <w:lang w:eastAsia="en-US"/>
        </w:rPr>
        <w:t>”</w:t>
      </w:r>
      <w:r>
        <w:rPr>
          <w:lang w:eastAsia="en-US"/>
        </w:rPr>
        <w:t xml:space="preserve">, </w:t>
      </w:r>
      <w:r w:rsidR="009872C2" w:rsidRPr="009872C2">
        <w:rPr>
          <w:lang w:eastAsia="en-US"/>
        </w:rPr>
        <w:t>Ericsson, Mediatek, Qualcomm, Intel, Nokia, Nokia Shanghai Bell</w:t>
      </w:r>
    </w:p>
    <w:p w14:paraId="36ED7ECA" w14:textId="57FBF7D8" w:rsidR="00355BCB" w:rsidRPr="00355BCB" w:rsidRDefault="00355BCB" w:rsidP="00355BCB">
      <w:pPr>
        <w:rPr>
          <w:lang w:eastAsia="en-US"/>
        </w:rPr>
      </w:pPr>
    </w:p>
    <w:sectPr w:rsidR="00355BCB" w:rsidRPr="00355BCB" w:rsidSect="00BB5C8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Author" w:initials="A">
    <w:p w14:paraId="6C98731A" w14:textId="2ECAFA4D" w:rsidR="00A96677" w:rsidRDefault="00A96677">
      <w:pPr>
        <w:pStyle w:val="CommentText"/>
      </w:pPr>
      <w:r>
        <w:rPr>
          <w:rStyle w:val="CommentReference"/>
        </w:rPr>
        <w:annotationRef/>
      </w:r>
      <w:r>
        <w:t>MediaTek will further update the value after Tdoc submission deadline</w:t>
      </w:r>
    </w:p>
  </w:comment>
  <w:comment w:id="7" w:author="Author" w:initials="A">
    <w:p w14:paraId="3BF125DA" w14:textId="4FDF0D79" w:rsidR="00A96677" w:rsidRDefault="00A96677">
      <w:pPr>
        <w:pStyle w:val="CommentText"/>
      </w:pPr>
      <w:r>
        <w:rPr>
          <w:rStyle w:val="CommentReference"/>
        </w:rPr>
        <w:annotationRef/>
      </w:r>
      <w:r>
        <w:t>MediaTek will further update the value after Tdoc submission deadline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98731A" w15:done="0"/>
  <w15:commentEx w15:paraId="3BF125D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1D768" w14:textId="77777777" w:rsidR="00030895" w:rsidRDefault="00030895">
      <w:r>
        <w:separator/>
      </w:r>
    </w:p>
  </w:endnote>
  <w:endnote w:type="continuationSeparator" w:id="0">
    <w:p w14:paraId="1AAEE38F" w14:textId="77777777" w:rsidR="00030895" w:rsidRDefault="0003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1EF90" w14:textId="77777777" w:rsidR="00030895" w:rsidRDefault="00030895">
      <w:r>
        <w:separator/>
      </w:r>
    </w:p>
  </w:footnote>
  <w:footnote w:type="continuationSeparator" w:id="0">
    <w:p w14:paraId="23BFDF45" w14:textId="77777777" w:rsidR="00030895" w:rsidRDefault="00030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8"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0"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5"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6"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2"/>
  </w:num>
  <w:num w:numId="2">
    <w:abstractNumId w:val="33"/>
  </w:num>
  <w:num w:numId="3">
    <w:abstractNumId w:val="15"/>
  </w:num>
  <w:num w:numId="4">
    <w:abstractNumId w:val="22"/>
  </w:num>
  <w:num w:numId="5">
    <w:abstractNumId w:val="24"/>
  </w:num>
  <w:num w:numId="6">
    <w:abstractNumId w:val="6"/>
  </w:num>
  <w:num w:numId="7">
    <w:abstractNumId w:val="14"/>
  </w:num>
  <w:num w:numId="8">
    <w:abstractNumId w:val="30"/>
  </w:num>
  <w:num w:numId="9">
    <w:abstractNumId w:val="12"/>
  </w:num>
  <w:num w:numId="10">
    <w:abstractNumId w:val="0"/>
  </w:num>
  <w:num w:numId="11">
    <w:abstractNumId w:val="13"/>
  </w:num>
  <w:num w:numId="12">
    <w:abstractNumId w:val="18"/>
  </w:num>
  <w:num w:numId="13">
    <w:abstractNumId w:val="3"/>
  </w:num>
  <w:num w:numId="14">
    <w:abstractNumId w:val="39"/>
  </w:num>
  <w:num w:numId="15">
    <w:abstractNumId w:val="11"/>
  </w:num>
  <w:num w:numId="16">
    <w:abstractNumId w:val="5"/>
  </w:num>
  <w:num w:numId="17">
    <w:abstractNumId w:val="27"/>
  </w:num>
  <w:num w:numId="18">
    <w:abstractNumId w:val="37"/>
  </w:num>
  <w:num w:numId="19">
    <w:abstractNumId w:val="16"/>
  </w:num>
  <w:num w:numId="20">
    <w:abstractNumId w:val="9"/>
  </w:num>
  <w:num w:numId="21">
    <w:abstractNumId w:val="36"/>
  </w:num>
  <w:num w:numId="22">
    <w:abstractNumId w:val="28"/>
  </w:num>
  <w:num w:numId="23">
    <w:abstractNumId w:val="7"/>
  </w:num>
  <w:num w:numId="24">
    <w:abstractNumId w:val="4"/>
  </w:num>
  <w:num w:numId="25">
    <w:abstractNumId w:val="21"/>
  </w:num>
  <w:num w:numId="26">
    <w:abstractNumId w:val="34"/>
  </w:num>
  <w:num w:numId="27">
    <w:abstractNumId w:val="26"/>
  </w:num>
  <w:num w:numId="28">
    <w:abstractNumId w:val="19"/>
  </w:num>
  <w:num w:numId="29">
    <w:abstractNumId w:val="20"/>
  </w:num>
  <w:num w:numId="30">
    <w:abstractNumId w:val="10"/>
  </w:num>
  <w:num w:numId="31">
    <w:abstractNumId w:val="31"/>
  </w:num>
  <w:num w:numId="32">
    <w:abstractNumId w:val="17"/>
  </w:num>
  <w:num w:numId="33">
    <w:abstractNumId w:val="1"/>
  </w:num>
  <w:num w:numId="34">
    <w:abstractNumId w:val="23"/>
  </w:num>
  <w:num w:numId="35">
    <w:abstractNumId w:val="40"/>
  </w:num>
  <w:num w:numId="36">
    <w:abstractNumId w:val="29"/>
  </w:num>
  <w:num w:numId="37">
    <w:abstractNumId w:val="38"/>
  </w:num>
  <w:num w:numId="38">
    <w:abstractNumId w:val="2"/>
  </w:num>
  <w:num w:numId="39">
    <w:abstractNumId w:val="8"/>
  </w:num>
  <w:num w:numId="40">
    <w:abstractNumId w:val="35"/>
  </w:num>
  <w:num w:numId="4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4F32"/>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C3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A4C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4C3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9F09C-2BD9-4B59-A0A8-4EB6E0E6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2019-05-03T07:34:00Z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